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615B8" w14:textId="1570F326" w:rsidR="000B6690" w:rsidRPr="000B6690" w:rsidRDefault="000B6690" w:rsidP="000B66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>3GPP TSG-RAN WG2 Meeting #1</w:t>
      </w:r>
      <w:r w:rsidR="0080763E">
        <w:rPr>
          <w:rFonts w:ascii="Arial" w:eastAsia="宋体" w:hAnsi="Arial" w:cs="Arial"/>
          <w:b/>
          <w:noProof/>
          <w:kern w:val="0"/>
          <w:sz w:val="24"/>
          <w:szCs w:val="20"/>
        </w:rPr>
        <w:t>2</w:t>
      </w:r>
      <w:r w:rsidR="00E048A2">
        <w:rPr>
          <w:rFonts w:ascii="Arial" w:eastAsia="宋体" w:hAnsi="Arial" w:cs="Arial"/>
          <w:b/>
          <w:noProof/>
          <w:kern w:val="0"/>
          <w:sz w:val="24"/>
          <w:szCs w:val="20"/>
        </w:rPr>
        <w:t>3</w:t>
      </w:r>
      <w:r w:rsidR="007B3B93">
        <w:rPr>
          <w:rFonts w:ascii="Arial" w:eastAsia="宋体" w:hAnsi="Arial" w:cs="Arial"/>
          <w:b/>
          <w:noProof/>
          <w:kern w:val="0"/>
          <w:sz w:val="24"/>
          <w:szCs w:val="20"/>
        </w:rPr>
        <w:t>bis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7C7FDE" w:rsidRPr="007C7FDE">
        <w:rPr>
          <w:rFonts w:ascii="Arial" w:eastAsia="宋体" w:hAnsi="Arial" w:cs="Arial"/>
          <w:b/>
          <w:noProof/>
          <w:kern w:val="0"/>
          <w:sz w:val="24"/>
          <w:szCs w:val="20"/>
        </w:rPr>
        <w:t>R2-</w:t>
      </w:r>
      <w:r w:rsidR="00BE3ECD" w:rsidRPr="00BE3ECD">
        <w:t xml:space="preserve"> </w:t>
      </w:r>
      <w:r w:rsidR="00136C10" w:rsidRPr="00136C10">
        <w:rPr>
          <w:rFonts w:ascii="Arial" w:eastAsia="宋体" w:hAnsi="Arial" w:cs="Arial"/>
          <w:b/>
          <w:noProof/>
          <w:kern w:val="0"/>
          <w:sz w:val="24"/>
          <w:szCs w:val="20"/>
        </w:rPr>
        <w:t>230</w:t>
      </w:r>
      <w:r w:rsidR="00CF303D">
        <w:rPr>
          <w:rFonts w:ascii="Arial" w:eastAsia="宋体" w:hAnsi="Arial" w:cs="Arial"/>
          <w:b/>
          <w:noProof/>
          <w:kern w:val="0"/>
          <w:sz w:val="24"/>
          <w:szCs w:val="20"/>
        </w:rPr>
        <w:t>9939</w:t>
      </w:r>
    </w:p>
    <w:p w14:paraId="4BF14776" w14:textId="6BBF0D25" w:rsidR="00AA3FAE" w:rsidRPr="005B2E70" w:rsidRDefault="007B3B93" w:rsidP="000B6690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Xiamen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</w:rPr>
        <w:t>,</w:t>
      </w:r>
      <w:r w:rsidR="00BF0D08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China</w:t>
      </w:r>
      <w:r w:rsidR="00BF0D08">
        <w:rPr>
          <w:rFonts w:ascii="Arial" w:eastAsia="宋体" w:hAnsi="Arial" w:cs="黑体"/>
          <w:b/>
          <w:bCs/>
          <w:noProof/>
          <w:kern w:val="0"/>
          <w:sz w:val="24"/>
        </w:rPr>
        <w:t>,</w:t>
      </w:r>
      <w:r w:rsidR="00FB2DC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9</w:t>
      </w:r>
      <w:r w:rsidR="00E048A2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13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October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FB2DC5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5B2E7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0B09C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</w:p>
    <w:p w14:paraId="0A8C0162" w14:textId="5FD1524F" w:rsid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Agenda Item: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166E1C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7</w:t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</w:t>
      </w:r>
      <w:r w:rsidR="005039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12</w:t>
      </w:r>
      <w:r w:rsidR="00175A07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</w:t>
      </w:r>
      <w:r w:rsidR="007E0AA7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2</w:t>
      </w:r>
      <w:r w:rsidR="00166E1C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.1</w:t>
      </w:r>
      <w:r w:rsidR="007B3B93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.2</w:t>
      </w:r>
    </w:p>
    <w:p w14:paraId="3A7B9F35" w14:textId="565143AE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Source: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Lenovo</w:t>
      </w:r>
    </w:p>
    <w:p w14:paraId="396CAC10" w14:textId="335C6CD7" w:rsidR="006F3844" w:rsidRP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Title: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253AF0" w:rsidRPr="00253A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Mobility enhancements for mobile IAB-node and its </w:t>
      </w:r>
      <w:r w:rsidR="00D248E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connected</w:t>
      </w:r>
      <w:r w:rsidR="00253AF0" w:rsidRPr="00253A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 UE</w:t>
      </w:r>
    </w:p>
    <w:p w14:paraId="586F74AD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Document for: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B56E0A4" w14:textId="3CF821B9" w:rsidR="00A61DF4" w:rsidRDefault="00A61DF4" w:rsidP="00A61DF4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  <w:r w:rsidR="00E048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61DF4" w14:paraId="059CB986" w14:textId="77777777" w:rsidTr="00F32368">
        <w:trPr>
          <w:trHeight w:val="1266"/>
        </w:trPr>
        <w:tc>
          <w:tcPr>
            <w:tcW w:w="9670" w:type="dxa"/>
          </w:tcPr>
          <w:p w14:paraId="73BCEB24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3195C568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59C2EE09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mobility of dual-connected IAB-nodes is down-prioritized.</w:t>
            </w:r>
          </w:p>
          <w:p w14:paraId="2632C582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Enhancements for mobility of an IAB-node together with its served UEs, including aspects related to group mobility. No optimizations for the targeting of surrounding UEs. [RAN3, RAN2]</w:t>
            </w:r>
          </w:p>
          <w:p w14:paraId="04CFD7D5" w14:textId="77777777" w:rsidR="00712DD9" w:rsidRPr="00712DD9" w:rsidRDefault="00712DD9" w:rsidP="00712DD9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lang w:eastAsia="en-US"/>
              </w:rPr>
            </w:pPr>
            <w:r w:rsidRPr="00712DD9">
              <w:rPr>
                <w:rFonts w:eastAsia="Times New Roman" w:cs="Times New Roman"/>
                <w:i/>
                <w:iCs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6263D6" w14:textId="3497C46C" w:rsidR="00A61DF4" w:rsidRPr="00732338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lang w:eastAsia="en-GB"/>
              </w:rPr>
            </w:pPr>
            <w:r w:rsidRPr="00712DD9">
              <w:rPr>
                <w:rFonts w:eastAsia="Times New Roman" w:cs="Times New Roman"/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0B940363" w14:textId="06009F93" w:rsidR="00A61DF4" w:rsidRDefault="00A61DF4" w:rsidP="00A61DF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mobility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enhancement</w:t>
      </w:r>
      <w:r w:rsidR="006F330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mobile IAB-node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its connected UEs </w:t>
      </w:r>
      <w:r w:rsidR="004E4425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discussed, including </w:t>
      </w:r>
      <w:r w:rsidRP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aspects related to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>CHO</w:t>
      </w:r>
      <w:r w:rsidR="003C2DC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>and some other aspects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70B1293" w:rsidR="00AA3FAE" w:rsidRPr="001119CE" w:rsidRDefault="00AA3FAE" w:rsidP="001119CE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B00ECAC" w14:textId="40BE3FD6" w:rsidR="00D02D3B" w:rsidRPr="0066723C" w:rsidRDefault="00D02D3B" w:rsidP="00D02D3B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Conditional handover for served UEs</w:t>
      </w:r>
    </w:p>
    <w:tbl>
      <w:tblPr>
        <w:tblW w:w="965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0"/>
      </w:tblGrid>
      <w:tr w:rsidR="00657ABB" w14:paraId="326D3BFD" w14:textId="77777777" w:rsidTr="00657ABB">
        <w:trPr>
          <w:trHeight w:val="2615"/>
        </w:trPr>
        <w:tc>
          <w:tcPr>
            <w:tcW w:w="9650" w:type="dxa"/>
          </w:tcPr>
          <w:p w14:paraId="14B6EE30" w14:textId="5AE2B082" w:rsidR="00657ABB" w:rsidRPr="00657ABB" w:rsidRDefault="00BB5FC3" w:rsidP="00657ABB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E0973">
              <w:rPr>
                <w:rFonts w:ascii="Times New Roman" w:hAnsi="Times New Roman" w:cs="Times New Roman"/>
                <w:b/>
                <w:bCs/>
              </w:rPr>
              <w:t>Agreements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from </w:t>
            </w:r>
            <w:r w:rsidR="00657AB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RAN2 119bis-e:</w:t>
            </w:r>
          </w:p>
          <w:p w14:paraId="5B30401D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 xml:space="preserve">1) message withholding by the logical source IAB-DU with conditional delivery, e.g., upon on MT migration, </w:t>
            </w:r>
          </w:p>
          <w:p w14:paraId="65187EA9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>2) conditional execution by the UE based on, e.g., a broadcast indication such as SIB indication of service time or DCI indication of MT-migration,</w:t>
            </w:r>
            <w:r>
              <w:rPr>
                <w:i/>
                <w:iCs/>
                <w:lang w:val="en-US"/>
              </w:rPr>
              <w:t xml:space="preserve"> (includes CHO with new trigger). </w:t>
            </w:r>
          </w:p>
          <w:p w14:paraId="77C00956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 xml:space="preserve">3) legacy CHO (with implementation specific </w:t>
            </w:r>
            <w:proofErr w:type="spellStart"/>
            <w:r w:rsidRPr="004B24FB">
              <w:rPr>
                <w:i/>
                <w:iCs/>
                <w:lang w:val="en-US"/>
              </w:rPr>
              <w:t>behaviour</w:t>
            </w:r>
            <w:proofErr w:type="spellEnd"/>
            <w:r w:rsidRPr="004B24FB">
              <w:rPr>
                <w:i/>
                <w:iCs/>
                <w:lang w:val="en-US"/>
              </w:rPr>
              <w:t>, e.g. using source-cell power down or target cell power up triggering the actual HO)</w:t>
            </w:r>
          </w:p>
          <w:p w14:paraId="2DCD2766" w14:textId="57CA9CC9" w:rsidR="00657ABB" w:rsidRPr="00657ABB" w:rsidRDefault="00657ABB" w:rsidP="00657ABB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 xml:space="preserve">RAN2 assumes that O1 and O3 above could work, and FFS if O2 above (new trigger etc) is needed. </w:t>
            </w:r>
          </w:p>
        </w:tc>
      </w:tr>
    </w:tbl>
    <w:p w14:paraId="23F20B99" w14:textId="146BF96F" w:rsidR="007650AE" w:rsidRDefault="00657ABB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Option 1,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are firstly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sent to source IAB-DU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mobile IAB-node, and the source IAB-DU withholds the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s until some specific conditions are met and </w:t>
      </w:r>
      <w:r w:rsidR="00875D9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>delivers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s to each connected UEs.</w:t>
      </w:r>
      <w:r w:rsidR="00875D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>Because s</w:t>
      </w:r>
      <w:r w:rsidR="00BE1FB3">
        <w:rPr>
          <w:rFonts w:ascii="Times New Roman" w:eastAsia="宋体" w:hAnsi="Times New Roman" w:cs="Times New Roman"/>
          <w:kern w:val="0"/>
          <w:sz w:val="20"/>
          <w:szCs w:val="20"/>
        </w:rPr>
        <w:t>imilar delay RRC configuration procedure has been defined in RAN3 during R17</w:t>
      </w:r>
      <w:r w:rsidR="002200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</w:t>
      </w:r>
      <w:r w:rsidR="00220099" w:rsidRPr="002200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reconfiguration of descendent nodes during intra-donor migration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the Option 1 has no impacts on legacy UEs. However, for the deliver condition, </w:t>
      </w:r>
      <w:r w:rsidR="000E6C5A">
        <w:rPr>
          <w:rFonts w:ascii="Times New Roman" w:eastAsia="宋体" w:hAnsi="Times New Roman" w:cs="Times New Roman"/>
          <w:kern w:val="0"/>
          <w:sz w:val="20"/>
          <w:szCs w:val="20"/>
        </w:rPr>
        <w:t>MT migration may not feasible as defined in RAN3 that IAB-MT handover and IAB-DU migration is</w:t>
      </w:r>
      <w:r w:rsidR="000E6C5A" w:rsidRPr="000E6C5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executed independently</w:t>
      </w:r>
      <w:r w:rsidR="000E6C5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58E05EE9" w14:textId="461A1CF1" w:rsidR="00D02D3B" w:rsidRDefault="007650AE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Option 2, because it’s not supported by the legacy UEs, then this option can be deprioritized.</w:t>
      </w:r>
    </w:p>
    <w:p w14:paraId="40EB6223" w14:textId="3E455B7A" w:rsidR="005A09F0" w:rsidRDefault="007650AE" w:rsidP="005A09F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Option 3, </w:t>
      </w:r>
      <w:r w:rsidR="002750D3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CHO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configuration can be fully reused for UEs, and source IAB-DU can power down </w:t>
      </w:r>
      <w:r w:rsidR="00F02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cells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 xml:space="preserve">by implementation to trigger the served UEs perform CHO to target IAB-DU, which has fewest standards impacts among 3 options. While for power up </w:t>
      </w:r>
      <w:r w:rsidR="00F02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cells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>of target IAB-DU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it’s not recommended </w:t>
      </w:r>
      <w:r w:rsidR="00BD1442">
        <w:rPr>
          <w:rFonts w:ascii="Times New Roman" w:eastAsia="宋体" w:hAnsi="Times New Roman" w:cs="Times New Roman"/>
          <w:kern w:val="0"/>
          <w:sz w:val="20"/>
          <w:szCs w:val="20"/>
        </w:rPr>
        <w:t>that it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cause</w:t>
      </w:r>
      <w:r w:rsidR="00BD1442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additional unnecessary HO/CHO on other UEs.</w:t>
      </w:r>
    </w:p>
    <w:p w14:paraId="33296235" w14:textId="3B02C859" w:rsidR="00D24D72" w:rsidRDefault="003B0384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B038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B038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FB7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Legacy CHO procedure can be reused by the served UEs of mobile IAB-node, and source IAB-DU </w:t>
      </w:r>
      <w:r w:rsidR="00552A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powers down the cells by implementation to trigger the CHO</w:t>
      </w:r>
      <w:r w:rsidR="00FB7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tbl>
      <w:tblPr>
        <w:tblW w:w="965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0"/>
      </w:tblGrid>
      <w:tr w:rsidR="00BE7893" w14:paraId="439B0E56" w14:textId="77777777" w:rsidTr="00094112">
        <w:trPr>
          <w:trHeight w:val="1056"/>
        </w:trPr>
        <w:tc>
          <w:tcPr>
            <w:tcW w:w="9650" w:type="dxa"/>
          </w:tcPr>
          <w:p w14:paraId="3CD6113A" w14:textId="4EE919C4" w:rsidR="00BE7893" w:rsidRPr="00657ABB" w:rsidRDefault="00BE7893" w:rsidP="001E5E26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E0973">
              <w:rPr>
                <w:rFonts w:ascii="Times New Roman" w:hAnsi="Times New Roman" w:cs="Times New Roman"/>
                <w:b/>
                <w:bCs/>
              </w:rPr>
              <w:t>Agreements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from 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RAN2 121bis-e:</w:t>
            </w:r>
          </w:p>
          <w:p w14:paraId="6AE739A3" w14:textId="130CFA86" w:rsidR="00094112" w:rsidRPr="00BE7893" w:rsidRDefault="00BE7893" w:rsidP="00094112">
            <w:pPr>
              <w:widowControl/>
              <w:tabs>
                <w:tab w:val="num" w:pos="1619"/>
              </w:tabs>
              <w:spacing w:before="60"/>
              <w:ind w:left="1619" w:hanging="360"/>
              <w:jc w:val="left"/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</w:pPr>
            <w:r w:rsidRPr="00252CBB"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  <w:t xml:space="preserve">FFS: May support CHO with CondT1 if it is “for free”, i.e. if TS impact is just to slightly modify the description to make it also applicable to TN. </w:t>
            </w:r>
          </w:p>
        </w:tc>
      </w:tr>
    </w:tbl>
    <w:p w14:paraId="74CCD685" w14:textId="2A0389A4" w:rsidR="004C7B9B" w:rsidRPr="00BE7893" w:rsidRDefault="006D40CA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Current</w:t>
      </w:r>
      <w:r w:rsidR="00D812CE">
        <w:rPr>
          <w:rFonts w:ascii="Times New Roman" w:eastAsia="宋体" w:hAnsi="Times New Roman" w:cs="Times New Roman"/>
          <w:kern w:val="0"/>
          <w:sz w:val="20"/>
          <w:szCs w:val="20"/>
        </w:rPr>
        <w:t>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CHO with CondT1 is only applied to NTN UE</w:t>
      </w:r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 xml:space="preserve">. While in the </w:t>
      </w:r>
      <w:proofErr w:type="spellStart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scenario, the motivation to introduce the CHO with CondT1 is to spread out the handover of served UEs during </w:t>
      </w:r>
      <w:proofErr w:type="spellStart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>-DU migration, in order to alleviate the signaling sto</w:t>
      </w:r>
      <w:r w:rsidR="00356D3E">
        <w:rPr>
          <w:rFonts w:ascii="Times New Roman" w:eastAsia="宋体" w:hAnsi="Times New Roman" w:cs="Times New Roman"/>
          <w:kern w:val="0"/>
          <w:sz w:val="20"/>
          <w:szCs w:val="20"/>
        </w:rPr>
        <w:t xml:space="preserve">rm for </w:t>
      </w:r>
      <w:r w:rsidR="00356D3E" w:rsidRPr="00356D3E">
        <w:rPr>
          <w:rFonts w:ascii="Times New Roman" w:eastAsia="宋体" w:hAnsi="Times New Roman" w:cs="Times New Roman"/>
          <w:kern w:val="0"/>
          <w:sz w:val="20"/>
          <w:szCs w:val="20"/>
        </w:rPr>
        <w:t>large amounts of</w:t>
      </w:r>
      <w:r w:rsidR="00356D3E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UEs. 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during IAB-DU migration, both cells of source logical IAB-DU and target logical IAB-DU are 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 xml:space="preserve">activated at the same time, and 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>the time to handover the served UE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</w:t>
      </w:r>
      <w:proofErr w:type="spellStart"/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>-node is determined by the source F1-terminating IAB-donor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>Then,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 can be left to the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IAB-donor’s implementation to distribute 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time of the handover among all served UEs, </w:t>
      </w:r>
      <w:r w:rsidR="00CA3FA7">
        <w:rPr>
          <w:rFonts w:ascii="Times New Roman" w:eastAsia="宋体" w:hAnsi="Times New Roman" w:cs="Times New Roman"/>
          <w:kern w:val="0"/>
          <w:sz w:val="20"/>
          <w:szCs w:val="20"/>
        </w:rPr>
        <w:t>there is no need to introduce CHO with CondT1 for mobile IAB.</w:t>
      </w:r>
    </w:p>
    <w:p w14:paraId="6BB47FF9" w14:textId="06370B1D" w:rsidR="004C7B9B" w:rsidRPr="004C7B9B" w:rsidRDefault="003A6B1D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2: N</w:t>
      </w:r>
      <w:r w:rsidR="00A75619"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need to introduce time-based CHO for served UEs of </w:t>
      </w:r>
      <w:proofErr w:type="spellStart"/>
      <w:r w:rsidR="00A75619">
        <w:rPr>
          <w:rFonts w:ascii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z w:val="20"/>
          <w:szCs w:val="20"/>
        </w:rPr>
        <w:t>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-node during DU migration, and source IAB-donor can spread out the UE handover via implementation.</w:t>
      </w:r>
    </w:p>
    <w:p w14:paraId="2992638F" w14:textId="41672174" w:rsidR="00FA3FF7" w:rsidRPr="00FA3FF7" w:rsidRDefault="00FA3FF7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On-board UE status identification</w:t>
      </w:r>
    </w:p>
    <w:p w14:paraId="41210F01" w14:textId="5EDEEF62" w:rsidR="00C5700F" w:rsidRPr="00787658" w:rsidRDefault="00C5700F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AN</w:t>
      </w: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 xml:space="preserve">2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has agreed that</w:t>
      </w: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RACH-less procedure may be considered for on-board RRC_CONNECTED UEs, which are to be handed over together with the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It means that the target IAB-donor-CU needs to be aware of the on-board/surrounding </w:t>
      </w:r>
      <w:r w:rsidRPr="00773E4B">
        <w:rPr>
          <w:rFonts w:ascii="Times New Roman" w:eastAsia="宋体" w:hAnsi="Times New Roman" w:cs="Times New Roman"/>
          <w:kern w:val="0"/>
          <w:sz w:val="20"/>
          <w:szCs w:val="20"/>
        </w:rPr>
        <w:t xml:space="preserve">status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of handover UE and may needs to make some optimizations for the on-board UE than the surrounding UE. Therefore, </w:t>
      </w:r>
      <w:r w:rsidRPr="00F612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on-board/surrounding </w:t>
      </w:r>
      <w:r w:rsidRPr="00773E4B">
        <w:rPr>
          <w:rFonts w:ascii="Times New Roman" w:eastAsia="宋体" w:hAnsi="Times New Roman" w:cs="Times New Roman"/>
          <w:kern w:val="0"/>
          <w:sz w:val="20"/>
          <w:szCs w:val="20"/>
        </w:rPr>
        <w:t>status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F612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UE can be included in the handover request message.</w:t>
      </w:r>
    </w:p>
    <w:p w14:paraId="2C4975FA" w14:textId="4A5663B5" w:rsidR="00C5700F" w:rsidRDefault="00C5700F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2" w:name="OLE_LINK8"/>
      <w:r w:rsidRPr="00F612F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A756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7538A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UE handover during </w:t>
      </w:r>
      <w:r w:rsidR="005A26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 migration, to i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nclud</w:t>
      </w:r>
      <w:r w:rsidR="005A26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n-board/surrounding 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status 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 UE in the handover request message.</w:t>
      </w:r>
    </w:p>
    <w:bookmarkEnd w:id="2"/>
    <w:p w14:paraId="22B01614" w14:textId="5C2D6752" w:rsidR="00A539A4" w:rsidRDefault="00C5700F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addition</w:t>
      </w:r>
      <w:r w:rsidR="00027CBB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o</w:t>
      </w:r>
      <w:r w:rsidRPr="00C5700F">
        <w:rPr>
          <w:rFonts w:ascii="Times New Roman" w:eastAsia="宋体" w:hAnsi="Times New Roman" w:cs="Times New Roman"/>
          <w:kern w:val="0"/>
          <w:sz w:val="20"/>
          <w:szCs w:val="20"/>
        </w:rPr>
        <w:t>n-board/surrounding status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A539A4">
        <w:rPr>
          <w:rFonts w:ascii="Times New Roman" w:eastAsia="宋体" w:hAnsi="Times New Roman" w:cs="Times New Roman"/>
          <w:kern w:val="0"/>
          <w:sz w:val="20"/>
          <w:szCs w:val="20"/>
        </w:rPr>
        <w:t xml:space="preserve">all onboard UEs needs to perform migration together with the mobile IAB-node. While for the surrounding UEs camping on the mobile IAB-node, migration together with the mobile IAB-node is not an optimal choice. Once the surrounding UEs perform migration together with the mobile IAB-node, the measurement result of serving cell become worse gradually due to the mobility of mobile IAB-node, and the surrounding UEs may need to perform handover again within a short time. </w:t>
      </w:r>
    </w:p>
    <w:p w14:paraId="584BB409" w14:textId="786962A7" w:rsidR="00A539A4" w:rsidRDefault="00A539A4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addition, as specified in the WID, n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 optimizations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>for the targeting of surrounding UEs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which means all enhancements related to group mobility</w:t>
      </w:r>
      <w:r w:rsidR="003F66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only considered for the onboard UEs. In addition, we have agreed that RACH-less handover may be only considered for on-board UEs rather than surrounding UEs. Therefore, it’s necessary to differentiate </w:t>
      </w:r>
      <w:r w:rsidRPr="00FC6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onboard UEs and surrounding UEs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IAB-donor. And no matter how UE determine whether it’s in the status of onboard or surrounding, 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needs to 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report its onboard/surrounding status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B46B501" w14:textId="6C97A5B6" w:rsidR="00A539A4" w:rsidRDefault="00A539A4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A756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03BD1BBD" w14:textId="77777777" w:rsidR="009036A3" w:rsidRPr="0066723C" w:rsidRDefault="009036A3" w:rsidP="009036A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8C2BCF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Fixed IAB-node handover</w:t>
      </w:r>
    </w:p>
    <w:p w14:paraId="0AC699B7" w14:textId="223C8EED" w:rsidR="00327596" w:rsidRDefault="00327596" w:rsidP="0032759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mobile IAB-node,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should have no descendent IAB-nodes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only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defined in the WID.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RAN2 119 e-meeting, RAN2 has agreed that t</w:t>
      </w:r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he method of not broadcasting “</w:t>
      </w:r>
      <w:proofErr w:type="spellStart"/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sufficient to prevent other IAB-node from accessing mobile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the </w:t>
      </w:r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proofErr w:type="spellStart"/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-Support” indication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only applied for IAB-node integration procedure, it needs to avoid that a source IAB-donor-CU to configure measurement to an IAB-node with a potential cell belonging to a mobile IAB-node, and the source IAB-donor-CU to trigger handover of the IAB-node to the mobile IAB-node cell. Therefore, the 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CU of a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should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be aware of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whether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potential 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>target cell belong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IAB-node.</w:t>
      </w:r>
    </w:p>
    <w:p w14:paraId="3EA15613" w14:textId="44B2A58A" w:rsidR="00692D0D" w:rsidRDefault="00327596" w:rsidP="002D414F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3" w:name="OLE_LINK14"/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A75619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ource </w:t>
      </w:r>
      <w:r>
        <w:rPr>
          <w:rFonts w:ascii="Times New Roman" w:hAnsi="Times New Roman" w:cs="Times New Roman"/>
          <w:b/>
          <w:bCs/>
          <w:sz w:val="20"/>
          <w:szCs w:val="20"/>
        </w:rPr>
        <w:t>IAB-donor-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CU of 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whether the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potential 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3"/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78E257A4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</w:t>
      </w:r>
      <w:r w:rsidR="00AC214F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AC214F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>nhancements for mobility of an IAB-node together with its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70FEED52" w14:textId="77777777" w:rsidR="00A01590" w:rsidRPr="003B0384" w:rsidRDefault="00A01590" w:rsidP="00A0159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B038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B038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Legacy CHO procedure can be reused by the served UEs of mobile IAB-node, and source IAB-DU powers down the cells by implementation to trigger the CHO.</w:t>
      </w:r>
    </w:p>
    <w:p w14:paraId="33A1E9A4" w14:textId="076AC2A8" w:rsidR="00A75619" w:rsidRPr="004C7B9B" w:rsidRDefault="00A75619" w:rsidP="00A756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2: No need to introduce time-based CHO for served UEs of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-node during DU migration, and source IAB-donor can spread out the UE handover via implementation.</w:t>
      </w:r>
      <w:r w:rsidR="0056596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A0125F6" w14:textId="77777777" w:rsidR="00A75619" w:rsidRDefault="00A75619" w:rsidP="00A756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12F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case of UE handover during IAB-DU migration, to include o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n-board/surrounding 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status 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 UE in the handover request message.</w:t>
      </w:r>
    </w:p>
    <w:p w14:paraId="691A0A9B" w14:textId="77777777" w:rsidR="00A75619" w:rsidRDefault="00A75619" w:rsidP="00A756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2715DE03" w14:textId="77777777" w:rsidR="00A75619" w:rsidRDefault="00A75619" w:rsidP="00A75619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ource </w:t>
      </w:r>
      <w:r>
        <w:rPr>
          <w:rFonts w:ascii="Times New Roman" w:hAnsi="Times New Roman" w:cs="Times New Roman"/>
          <w:b/>
          <w:bCs/>
          <w:sz w:val="20"/>
          <w:szCs w:val="20"/>
        </w:rPr>
        <w:t>IAB-donor-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CU of 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whether the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potential 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3244BFD7" w14:textId="155EF38F" w:rsidR="00C07627" w:rsidRDefault="00C07627" w:rsidP="00C0762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7E72C195" w14:textId="7523A09E" w:rsidR="003E0958" w:rsidRPr="00F838A4" w:rsidRDefault="009762FC" w:rsidP="00A60CD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RAN2 119</w:t>
      </w:r>
      <w:r w:rsidR="000B6282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-e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A9004F">
        <w:rPr>
          <w:rFonts w:ascii="Times New Roman" w:eastAsia="宋体" w:hAnsi="Times New Roman" w:cs="Times New Roman"/>
          <w:kern w:val="0"/>
          <w:sz w:val="20"/>
          <w:lang w:val="x-none"/>
        </w:rPr>
        <w:t>–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12</w:t>
      </w:r>
      <w:r w:rsidR="00A60CED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3E0958" w:rsidRPr="00F838A4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8B310" w14:textId="77777777" w:rsidR="00532DC8" w:rsidRDefault="00532DC8" w:rsidP="00AA3FAE">
      <w:r>
        <w:separator/>
      </w:r>
    </w:p>
  </w:endnote>
  <w:endnote w:type="continuationSeparator" w:id="0">
    <w:p w14:paraId="73C074F3" w14:textId="77777777" w:rsidR="00532DC8" w:rsidRDefault="00532DC8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1A39" w14:textId="77777777" w:rsidR="00532DC8" w:rsidRDefault="00532DC8" w:rsidP="00AA3FAE">
      <w:r>
        <w:separator/>
      </w:r>
    </w:p>
  </w:footnote>
  <w:footnote w:type="continuationSeparator" w:id="0">
    <w:p w14:paraId="590F8215" w14:textId="77777777" w:rsidR="00532DC8" w:rsidRDefault="00532DC8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84D9D"/>
    <w:multiLevelType w:val="hybridMultilevel"/>
    <w:tmpl w:val="40D0D1F4"/>
    <w:lvl w:ilvl="0" w:tplc="94DC551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B41DB4"/>
    <w:multiLevelType w:val="hybridMultilevel"/>
    <w:tmpl w:val="E8AEDB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0521740">
      <w:start w:val="1"/>
      <w:numFmt w:val="decimal"/>
      <w:lvlText w:val="%2"/>
      <w:lvlJc w:val="left"/>
      <w:pPr>
        <w:ind w:left="780" w:hanging="36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F449F6"/>
    <w:multiLevelType w:val="hybridMultilevel"/>
    <w:tmpl w:val="45E279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66936A3"/>
    <w:multiLevelType w:val="hybridMultilevel"/>
    <w:tmpl w:val="B624093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856923"/>
    <w:multiLevelType w:val="hybridMultilevel"/>
    <w:tmpl w:val="71BA7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96"/>
        </w:tabs>
        <w:ind w:left="-8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75"/>
        </w:tabs>
        <w:ind w:left="-1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55"/>
        </w:tabs>
        <w:ind w:left="-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"/>
        </w:tabs>
        <w:ind w:left="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</w:abstractNum>
  <w:abstractNum w:abstractNumId="21" w15:restartNumberingAfterBreak="0">
    <w:nsid w:val="79B01ACE"/>
    <w:multiLevelType w:val="hybridMultilevel"/>
    <w:tmpl w:val="E8AEDBD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>
      <w:start w:val="1"/>
      <w:numFmt w:val="decimal"/>
      <w:lvlText w:val="%2"/>
      <w:lvlJc w:val="left"/>
      <w:pPr>
        <w:ind w:left="780" w:hanging="36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num w:numId="1" w16cid:durableId="627008234">
    <w:abstractNumId w:val="12"/>
  </w:num>
  <w:num w:numId="2" w16cid:durableId="1909487870">
    <w:abstractNumId w:val="4"/>
  </w:num>
  <w:num w:numId="3" w16cid:durableId="1776706110">
    <w:abstractNumId w:val="2"/>
  </w:num>
  <w:num w:numId="4" w16cid:durableId="1063452926">
    <w:abstractNumId w:val="15"/>
  </w:num>
  <w:num w:numId="5" w16cid:durableId="159590811">
    <w:abstractNumId w:val="9"/>
  </w:num>
  <w:num w:numId="6" w16cid:durableId="549340024">
    <w:abstractNumId w:val="20"/>
  </w:num>
  <w:num w:numId="7" w16cid:durableId="1533570270">
    <w:abstractNumId w:val="17"/>
  </w:num>
  <w:num w:numId="8" w16cid:durableId="1911619972">
    <w:abstractNumId w:val="10"/>
  </w:num>
  <w:num w:numId="9" w16cid:durableId="512300356">
    <w:abstractNumId w:val="0"/>
  </w:num>
  <w:num w:numId="10" w16cid:durableId="1436093840">
    <w:abstractNumId w:val="5"/>
  </w:num>
  <w:num w:numId="11" w16cid:durableId="1271814385">
    <w:abstractNumId w:val="13"/>
  </w:num>
  <w:num w:numId="12" w16cid:durableId="873419911">
    <w:abstractNumId w:val="18"/>
  </w:num>
  <w:num w:numId="13" w16cid:durableId="1328247834">
    <w:abstractNumId w:val="14"/>
  </w:num>
  <w:num w:numId="14" w16cid:durableId="1523712847">
    <w:abstractNumId w:val="7"/>
  </w:num>
  <w:num w:numId="15" w16cid:durableId="1543975560">
    <w:abstractNumId w:val="1"/>
  </w:num>
  <w:num w:numId="16" w16cid:durableId="881865232">
    <w:abstractNumId w:val="16"/>
  </w:num>
  <w:num w:numId="17" w16cid:durableId="630402364">
    <w:abstractNumId w:val="3"/>
  </w:num>
  <w:num w:numId="18" w16cid:durableId="1185556464">
    <w:abstractNumId w:val="20"/>
  </w:num>
  <w:num w:numId="19" w16cid:durableId="343751357">
    <w:abstractNumId w:val="20"/>
  </w:num>
  <w:num w:numId="20" w16cid:durableId="102965749">
    <w:abstractNumId w:val="20"/>
  </w:num>
  <w:num w:numId="21" w16cid:durableId="949318608">
    <w:abstractNumId w:val="20"/>
  </w:num>
  <w:num w:numId="22" w16cid:durableId="288970765">
    <w:abstractNumId w:val="20"/>
  </w:num>
  <w:num w:numId="23" w16cid:durableId="1930917760">
    <w:abstractNumId w:val="19"/>
  </w:num>
  <w:num w:numId="24" w16cid:durableId="1639920758">
    <w:abstractNumId w:val="11"/>
  </w:num>
  <w:num w:numId="25" w16cid:durableId="14741786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32076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9721847">
    <w:abstractNumId w:val="8"/>
  </w:num>
  <w:num w:numId="28" w16cid:durableId="3471764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1DA"/>
    <w:rsid w:val="00000419"/>
    <w:rsid w:val="00004B28"/>
    <w:rsid w:val="00006633"/>
    <w:rsid w:val="0000703A"/>
    <w:rsid w:val="000078D6"/>
    <w:rsid w:val="000201E2"/>
    <w:rsid w:val="0002183F"/>
    <w:rsid w:val="000240AC"/>
    <w:rsid w:val="000277D7"/>
    <w:rsid w:val="00027CBB"/>
    <w:rsid w:val="00033584"/>
    <w:rsid w:val="00036BFD"/>
    <w:rsid w:val="00036C32"/>
    <w:rsid w:val="00036D3D"/>
    <w:rsid w:val="00037738"/>
    <w:rsid w:val="00037A2D"/>
    <w:rsid w:val="0004320E"/>
    <w:rsid w:val="00043B7B"/>
    <w:rsid w:val="00047545"/>
    <w:rsid w:val="000502FD"/>
    <w:rsid w:val="000505CB"/>
    <w:rsid w:val="00055D15"/>
    <w:rsid w:val="000566E1"/>
    <w:rsid w:val="00060A16"/>
    <w:rsid w:val="00062DAA"/>
    <w:rsid w:val="00064FA3"/>
    <w:rsid w:val="00067299"/>
    <w:rsid w:val="000676A1"/>
    <w:rsid w:val="0007088F"/>
    <w:rsid w:val="000723BB"/>
    <w:rsid w:val="00072499"/>
    <w:rsid w:val="00072574"/>
    <w:rsid w:val="000752E1"/>
    <w:rsid w:val="00080CC2"/>
    <w:rsid w:val="00082EC4"/>
    <w:rsid w:val="0008663F"/>
    <w:rsid w:val="00093EF1"/>
    <w:rsid w:val="00094112"/>
    <w:rsid w:val="000978FD"/>
    <w:rsid w:val="000A1873"/>
    <w:rsid w:val="000A4883"/>
    <w:rsid w:val="000B09C9"/>
    <w:rsid w:val="000B161E"/>
    <w:rsid w:val="000B1938"/>
    <w:rsid w:val="000B1D18"/>
    <w:rsid w:val="000B2144"/>
    <w:rsid w:val="000B6282"/>
    <w:rsid w:val="000B6690"/>
    <w:rsid w:val="000C008E"/>
    <w:rsid w:val="000C0937"/>
    <w:rsid w:val="000C19A3"/>
    <w:rsid w:val="000C2AA4"/>
    <w:rsid w:val="000C6E45"/>
    <w:rsid w:val="000D18C1"/>
    <w:rsid w:val="000D2B2B"/>
    <w:rsid w:val="000D4113"/>
    <w:rsid w:val="000D4E54"/>
    <w:rsid w:val="000E15E2"/>
    <w:rsid w:val="000E1F7B"/>
    <w:rsid w:val="000E443D"/>
    <w:rsid w:val="000E5A48"/>
    <w:rsid w:val="000E6C5A"/>
    <w:rsid w:val="000E7279"/>
    <w:rsid w:val="000F40EC"/>
    <w:rsid w:val="000F739D"/>
    <w:rsid w:val="0010503F"/>
    <w:rsid w:val="001119CE"/>
    <w:rsid w:val="00111B28"/>
    <w:rsid w:val="00114A1F"/>
    <w:rsid w:val="0012010C"/>
    <w:rsid w:val="001217A1"/>
    <w:rsid w:val="001229AC"/>
    <w:rsid w:val="0012681D"/>
    <w:rsid w:val="00126DEE"/>
    <w:rsid w:val="00127B59"/>
    <w:rsid w:val="001305AC"/>
    <w:rsid w:val="00131641"/>
    <w:rsid w:val="001322B8"/>
    <w:rsid w:val="00132B08"/>
    <w:rsid w:val="00134957"/>
    <w:rsid w:val="00135BED"/>
    <w:rsid w:val="00135C3C"/>
    <w:rsid w:val="00136C10"/>
    <w:rsid w:val="00141555"/>
    <w:rsid w:val="00144C24"/>
    <w:rsid w:val="00152D85"/>
    <w:rsid w:val="001556FC"/>
    <w:rsid w:val="00157E02"/>
    <w:rsid w:val="0016588F"/>
    <w:rsid w:val="00166E1C"/>
    <w:rsid w:val="00175A07"/>
    <w:rsid w:val="00180496"/>
    <w:rsid w:val="001826EA"/>
    <w:rsid w:val="00185A91"/>
    <w:rsid w:val="00190A87"/>
    <w:rsid w:val="00190FAF"/>
    <w:rsid w:val="00191ACA"/>
    <w:rsid w:val="001A2383"/>
    <w:rsid w:val="001A34F9"/>
    <w:rsid w:val="001A4DB9"/>
    <w:rsid w:val="001A7350"/>
    <w:rsid w:val="001B1D5F"/>
    <w:rsid w:val="001B2FA1"/>
    <w:rsid w:val="001B361E"/>
    <w:rsid w:val="001B4767"/>
    <w:rsid w:val="001B507E"/>
    <w:rsid w:val="001B7E53"/>
    <w:rsid w:val="001C1DAB"/>
    <w:rsid w:val="001C1DCC"/>
    <w:rsid w:val="001C473D"/>
    <w:rsid w:val="001D012F"/>
    <w:rsid w:val="001D0C68"/>
    <w:rsid w:val="001D3376"/>
    <w:rsid w:val="001D59CE"/>
    <w:rsid w:val="001D5DFE"/>
    <w:rsid w:val="001D5F73"/>
    <w:rsid w:val="001D69F7"/>
    <w:rsid w:val="001D70B0"/>
    <w:rsid w:val="001F0BEA"/>
    <w:rsid w:val="001F1421"/>
    <w:rsid w:val="001F29C2"/>
    <w:rsid w:val="00204BF0"/>
    <w:rsid w:val="00212BCD"/>
    <w:rsid w:val="00212DB4"/>
    <w:rsid w:val="002136B8"/>
    <w:rsid w:val="002144CD"/>
    <w:rsid w:val="002145FF"/>
    <w:rsid w:val="00220099"/>
    <w:rsid w:val="00221F14"/>
    <w:rsid w:val="002222FA"/>
    <w:rsid w:val="00231C9C"/>
    <w:rsid w:val="0023239F"/>
    <w:rsid w:val="002340BA"/>
    <w:rsid w:val="00234C75"/>
    <w:rsid w:val="00236C71"/>
    <w:rsid w:val="00237A12"/>
    <w:rsid w:val="002428E4"/>
    <w:rsid w:val="0024433A"/>
    <w:rsid w:val="00245E3F"/>
    <w:rsid w:val="002500C6"/>
    <w:rsid w:val="00252749"/>
    <w:rsid w:val="00253AF0"/>
    <w:rsid w:val="002551E1"/>
    <w:rsid w:val="00256265"/>
    <w:rsid w:val="00256FA7"/>
    <w:rsid w:val="002577EE"/>
    <w:rsid w:val="002600F8"/>
    <w:rsid w:val="002649BD"/>
    <w:rsid w:val="00267070"/>
    <w:rsid w:val="002720E7"/>
    <w:rsid w:val="00273494"/>
    <w:rsid w:val="002750D3"/>
    <w:rsid w:val="00276074"/>
    <w:rsid w:val="00276F97"/>
    <w:rsid w:val="00280554"/>
    <w:rsid w:val="0028087C"/>
    <w:rsid w:val="002823D1"/>
    <w:rsid w:val="00290072"/>
    <w:rsid w:val="002911AD"/>
    <w:rsid w:val="00296038"/>
    <w:rsid w:val="002A2C8B"/>
    <w:rsid w:val="002A3191"/>
    <w:rsid w:val="002A4EF2"/>
    <w:rsid w:val="002A52AF"/>
    <w:rsid w:val="002B0EC9"/>
    <w:rsid w:val="002B110B"/>
    <w:rsid w:val="002B2A17"/>
    <w:rsid w:val="002B32DD"/>
    <w:rsid w:val="002B5AC4"/>
    <w:rsid w:val="002C1AD2"/>
    <w:rsid w:val="002C257B"/>
    <w:rsid w:val="002C3897"/>
    <w:rsid w:val="002D414F"/>
    <w:rsid w:val="002D4547"/>
    <w:rsid w:val="002D4BCF"/>
    <w:rsid w:val="002D4E9D"/>
    <w:rsid w:val="002D6B36"/>
    <w:rsid w:val="002E61C9"/>
    <w:rsid w:val="002E6200"/>
    <w:rsid w:val="002E692B"/>
    <w:rsid w:val="002E6AB3"/>
    <w:rsid w:val="002E7223"/>
    <w:rsid w:val="002F4B4D"/>
    <w:rsid w:val="002F4BF9"/>
    <w:rsid w:val="002F5ADB"/>
    <w:rsid w:val="002F760C"/>
    <w:rsid w:val="002F7DD1"/>
    <w:rsid w:val="0030141D"/>
    <w:rsid w:val="00302732"/>
    <w:rsid w:val="00304AB3"/>
    <w:rsid w:val="0030768E"/>
    <w:rsid w:val="00311F6E"/>
    <w:rsid w:val="003179AD"/>
    <w:rsid w:val="00317D40"/>
    <w:rsid w:val="00320179"/>
    <w:rsid w:val="00320565"/>
    <w:rsid w:val="00321461"/>
    <w:rsid w:val="0032189B"/>
    <w:rsid w:val="003235A4"/>
    <w:rsid w:val="00327596"/>
    <w:rsid w:val="00330B37"/>
    <w:rsid w:val="00331DCD"/>
    <w:rsid w:val="00334DB1"/>
    <w:rsid w:val="00335AB1"/>
    <w:rsid w:val="00341CB7"/>
    <w:rsid w:val="00342086"/>
    <w:rsid w:val="00343CCD"/>
    <w:rsid w:val="00350C12"/>
    <w:rsid w:val="003516DE"/>
    <w:rsid w:val="00356D3E"/>
    <w:rsid w:val="00361C16"/>
    <w:rsid w:val="00365B8F"/>
    <w:rsid w:val="00366014"/>
    <w:rsid w:val="003679C3"/>
    <w:rsid w:val="003708E0"/>
    <w:rsid w:val="00371CD4"/>
    <w:rsid w:val="00372A8A"/>
    <w:rsid w:val="003731AF"/>
    <w:rsid w:val="0037446F"/>
    <w:rsid w:val="003752E3"/>
    <w:rsid w:val="00375C4E"/>
    <w:rsid w:val="00380000"/>
    <w:rsid w:val="00381282"/>
    <w:rsid w:val="00384228"/>
    <w:rsid w:val="00387B6B"/>
    <w:rsid w:val="00390E2E"/>
    <w:rsid w:val="00390E73"/>
    <w:rsid w:val="00390FB4"/>
    <w:rsid w:val="00392D92"/>
    <w:rsid w:val="00392F22"/>
    <w:rsid w:val="00394045"/>
    <w:rsid w:val="00394A0E"/>
    <w:rsid w:val="003953EC"/>
    <w:rsid w:val="00396E48"/>
    <w:rsid w:val="003A0B1A"/>
    <w:rsid w:val="003A4A2A"/>
    <w:rsid w:val="003A5735"/>
    <w:rsid w:val="003A6B1D"/>
    <w:rsid w:val="003B0384"/>
    <w:rsid w:val="003B6F2C"/>
    <w:rsid w:val="003B6F44"/>
    <w:rsid w:val="003B717D"/>
    <w:rsid w:val="003B751D"/>
    <w:rsid w:val="003B789C"/>
    <w:rsid w:val="003C2950"/>
    <w:rsid w:val="003C2DC1"/>
    <w:rsid w:val="003C5399"/>
    <w:rsid w:val="003D1A4E"/>
    <w:rsid w:val="003D369B"/>
    <w:rsid w:val="003D3860"/>
    <w:rsid w:val="003D3CD3"/>
    <w:rsid w:val="003D4A95"/>
    <w:rsid w:val="003E0958"/>
    <w:rsid w:val="003E0973"/>
    <w:rsid w:val="003E1D22"/>
    <w:rsid w:val="003E3846"/>
    <w:rsid w:val="003E4C51"/>
    <w:rsid w:val="003F3AFD"/>
    <w:rsid w:val="003F56FA"/>
    <w:rsid w:val="003F66B4"/>
    <w:rsid w:val="003F6ABF"/>
    <w:rsid w:val="0040415F"/>
    <w:rsid w:val="00404AE4"/>
    <w:rsid w:val="00406254"/>
    <w:rsid w:val="004063CC"/>
    <w:rsid w:val="00412763"/>
    <w:rsid w:val="004136AB"/>
    <w:rsid w:val="00413FAB"/>
    <w:rsid w:val="00414D11"/>
    <w:rsid w:val="00415AD8"/>
    <w:rsid w:val="00415B4C"/>
    <w:rsid w:val="00415D56"/>
    <w:rsid w:val="00417286"/>
    <w:rsid w:val="00421C46"/>
    <w:rsid w:val="0042361B"/>
    <w:rsid w:val="004246D2"/>
    <w:rsid w:val="0042475F"/>
    <w:rsid w:val="00427CB3"/>
    <w:rsid w:val="004307A0"/>
    <w:rsid w:val="00430C1C"/>
    <w:rsid w:val="00436934"/>
    <w:rsid w:val="0043723B"/>
    <w:rsid w:val="00443070"/>
    <w:rsid w:val="0044584A"/>
    <w:rsid w:val="004477D6"/>
    <w:rsid w:val="00450E17"/>
    <w:rsid w:val="00450E5B"/>
    <w:rsid w:val="0045226C"/>
    <w:rsid w:val="00452823"/>
    <w:rsid w:val="00456853"/>
    <w:rsid w:val="00457055"/>
    <w:rsid w:val="00463114"/>
    <w:rsid w:val="0046367F"/>
    <w:rsid w:val="00466B81"/>
    <w:rsid w:val="00471709"/>
    <w:rsid w:val="00471AD9"/>
    <w:rsid w:val="0047389C"/>
    <w:rsid w:val="00475801"/>
    <w:rsid w:val="004774BA"/>
    <w:rsid w:val="00480000"/>
    <w:rsid w:val="00486B2C"/>
    <w:rsid w:val="004927F4"/>
    <w:rsid w:val="00494DF4"/>
    <w:rsid w:val="00496030"/>
    <w:rsid w:val="004A0C67"/>
    <w:rsid w:val="004A1AEA"/>
    <w:rsid w:val="004A25BE"/>
    <w:rsid w:val="004A42BB"/>
    <w:rsid w:val="004A5C45"/>
    <w:rsid w:val="004B3E3C"/>
    <w:rsid w:val="004B6023"/>
    <w:rsid w:val="004C60BA"/>
    <w:rsid w:val="004C735E"/>
    <w:rsid w:val="004C7B9B"/>
    <w:rsid w:val="004D32F2"/>
    <w:rsid w:val="004D4385"/>
    <w:rsid w:val="004D606F"/>
    <w:rsid w:val="004D62D5"/>
    <w:rsid w:val="004E3A43"/>
    <w:rsid w:val="004E4425"/>
    <w:rsid w:val="004E4591"/>
    <w:rsid w:val="004F61DC"/>
    <w:rsid w:val="005007D4"/>
    <w:rsid w:val="00502B78"/>
    <w:rsid w:val="005039F0"/>
    <w:rsid w:val="00510676"/>
    <w:rsid w:val="00512FC9"/>
    <w:rsid w:val="00513AA1"/>
    <w:rsid w:val="00515CED"/>
    <w:rsid w:val="0051628D"/>
    <w:rsid w:val="0051755B"/>
    <w:rsid w:val="0052004E"/>
    <w:rsid w:val="00520A23"/>
    <w:rsid w:val="0052635C"/>
    <w:rsid w:val="00530A86"/>
    <w:rsid w:val="00531B04"/>
    <w:rsid w:val="00532DC8"/>
    <w:rsid w:val="00536A3C"/>
    <w:rsid w:val="00542B46"/>
    <w:rsid w:val="005448D3"/>
    <w:rsid w:val="00544DED"/>
    <w:rsid w:val="00551CC7"/>
    <w:rsid w:val="00552A2B"/>
    <w:rsid w:val="00555FA0"/>
    <w:rsid w:val="00561831"/>
    <w:rsid w:val="00563788"/>
    <w:rsid w:val="00564234"/>
    <w:rsid w:val="005649E8"/>
    <w:rsid w:val="00565960"/>
    <w:rsid w:val="0056624E"/>
    <w:rsid w:val="0057053B"/>
    <w:rsid w:val="00575725"/>
    <w:rsid w:val="00576785"/>
    <w:rsid w:val="00576915"/>
    <w:rsid w:val="00581A65"/>
    <w:rsid w:val="00581CF8"/>
    <w:rsid w:val="00583FC8"/>
    <w:rsid w:val="00585B50"/>
    <w:rsid w:val="005866B1"/>
    <w:rsid w:val="00592A23"/>
    <w:rsid w:val="005948A9"/>
    <w:rsid w:val="005955C1"/>
    <w:rsid w:val="00595FB1"/>
    <w:rsid w:val="005963F4"/>
    <w:rsid w:val="005A09F0"/>
    <w:rsid w:val="005A26F8"/>
    <w:rsid w:val="005A382F"/>
    <w:rsid w:val="005A3D99"/>
    <w:rsid w:val="005A3F3D"/>
    <w:rsid w:val="005A5B85"/>
    <w:rsid w:val="005A69FF"/>
    <w:rsid w:val="005B2E70"/>
    <w:rsid w:val="005B486E"/>
    <w:rsid w:val="005B5C3C"/>
    <w:rsid w:val="005B7C38"/>
    <w:rsid w:val="005C2CC5"/>
    <w:rsid w:val="005C3F0F"/>
    <w:rsid w:val="005C4076"/>
    <w:rsid w:val="005C506E"/>
    <w:rsid w:val="005C5C02"/>
    <w:rsid w:val="005D0B2C"/>
    <w:rsid w:val="005D0E78"/>
    <w:rsid w:val="005D4401"/>
    <w:rsid w:val="005D4C79"/>
    <w:rsid w:val="005D7561"/>
    <w:rsid w:val="005E13D4"/>
    <w:rsid w:val="005E2E23"/>
    <w:rsid w:val="005E3163"/>
    <w:rsid w:val="005E6FC3"/>
    <w:rsid w:val="005F5AC9"/>
    <w:rsid w:val="00600785"/>
    <w:rsid w:val="006014DF"/>
    <w:rsid w:val="00603256"/>
    <w:rsid w:val="0060363E"/>
    <w:rsid w:val="006125F9"/>
    <w:rsid w:val="00616F03"/>
    <w:rsid w:val="00617F75"/>
    <w:rsid w:val="00621AA7"/>
    <w:rsid w:val="0063053E"/>
    <w:rsid w:val="00632A49"/>
    <w:rsid w:val="0063482D"/>
    <w:rsid w:val="00637F05"/>
    <w:rsid w:val="00640255"/>
    <w:rsid w:val="006469D6"/>
    <w:rsid w:val="00650A3D"/>
    <w:rsid w:val="00653BB4"/>
    <w:rsid w:val="006571A2"/>
    <w:rsid w:val="00657ABB"/>
    <w:rsid w:val="00657FF9"/>
    <w:rsid w:val="00664B31"/>
    <w:rsid w:val="00666EA1"/>
    <w:rsid w:val="0066723C"/>
    <w:rsid w:val="00667601"/>
    <w:rsid w:val="00671523"/>
    <w:rsid w:val="00672C28"/>
    <w:rsid w:val="00673EB7"/>
    <w:rsid w:val="00674294"/>
    <w:rsid w:val="006800AE"/>
    <w:rsid w:val="006812B2"/>
    <w:rsid w:val="006844A4"/>
    <w:rsid w:val="00684A23"/>
    <w:rsid w:val="0069000C"/>
    <w:rsid w:val="00692D0D"/>
    <w:rsid w:val="006931BD"/>
    <w:rsid w:val="00693D99"/>
    <w:rsid w:val="00696D8E"/>
    <w:rsid w:val="0069713B"/>
    <w:rsid w:val="00697690"/>
    <w:rsid w:val="006A0A85"/>
    <w:rsid w:val="006A1B51"/>
    <w:rsid w:val="006A22C3"/>
    <w:rsid w:val="006A7B11"/>
    <w:rsid w:val="006B2408"/>
    <w:rsid w:val="006B763F"/>
    <w:rsid w:val="006B7D13"/>
    <w:rsid w:val="006C17A2"/>
    <w:rsid w:val="006C1F5B"/>
    <w:rsid w:val="006C34BA"/>
    <w:rsid w:val="006C6E1A"/>
    <w:rsid w:val="006D3A5E"/>
    <w:rsid w:val="006D40CA"/>
    <w:rsid w:val="006D463C"/>
    <w:rsid w:val="006D4F64"/>
    <w:rsid w:val="006D51EF"/>
    <w:rsid w:val="006D62EA"/>
    <w:rsid w:val="006D662F"/>
    <w:rsid w:val="006D6EE7"/>
    <w:rsid w:val="006E7CED"/>
    <w:rsid w:val="006E7F53"/>
    <w:rsid w:val="006F009A"/>
    <w:rsid w:val="006F0E48"/>
    <w:rsid w:val="006F3309"/>
    <w:rsid w:val="006F3844"/>
    <w:rsid w:val="006F5211"/>
    <w:rsid w:val="006F718A"/>
    <w:rsid w:val="006F7948"/>
    <w:rsid w:val="006F7A32"/>
    <w:rsid w:val="00701C8C"/>
    <w:rsid w:val="007025DD"/>
    <w:rsid w:val="00703BAA"/>
    <w:rsid w:val="00704F12"/>
    <w:rsid w:val="00707153"/>
    <w:rsid w:val="00707369"/>
    <w:rsid w:val="007105BA"/>
    <w:rsid w:val="00711D23"/>
    <w:rsid w:val="00712575"/>
    <w:rsid w:val="00712DD9"/>
    <w:rsid w:val="00714F93"/>
    <w:rsid w:val="007158E6"/>
    <w:rsid w:val="00724078"/>
    <w:rsid w:val="007260FF"/>
    <w:rsid w:val="0073082C"/>
    <w:rsid w:val="00732338"/>
    <w:rsid w:val="00733434"/>
    <w:rsid w:val="007345D8"/>
    <w:rsid w:val="00735937"/>
    <w:rsid w:val="0073758A"/>
    <w:rsid w:val="00737D56"/>
    <w:rsid w:val="007514CB"/>
    <w:rsid w:val="007538A0"/>
    <w:rsid w:val="00760B23"/>
    <w:rsid w:val="00764288"/>
    <w:rsid w:val="007650AE"/>
    <w:rsid w:val="007655C6"/>
    <w:rsid w:val="00766391"/>
    <w:rsid w:val="00773E4B"/>
    <w:rsid w:val="0078172C"/>
    <w:rsid w:val="00785D79"/>
    <w:rsid w:val="00787658"/>
    <w:rsid w:val="00787DA7"/>
    <w:rsid w:val="0079372C"/>
    <w:rsid w:val="0079429A"/>
    <w:rsid w:val="007A13C5"/>
    <w:rsid w:val="007A41F5"/>
    <w:rsid w:val="007A6E39"/>
    <w:rsid w:val="007B0D5E"/>
    <w:rsid w:val="007B19BC"/>
    <w:rsid w:val="007B3B93"/>
    <w:rsid w:val="007B510C"/>
    <w:rsid w:val="007C0CA1"/>
    <w:rsid w:val="007C2284"/>
    <w:rsid w:val="007C759A"/>
    <w:rsid w:val="007C7FDE"/>
    <w:rsid w:val="007D41EC"/>
    <w:rsid w:val="007D48BB"/>
    <w:rsid w:val="007E0AA7"/>
    <w:rsid w:val="007E213F"/>
    <w:rsid w:val="007E2405"/>
    <w:rsid w:val="007E2DF6"/>
    <w:rsid w:val="007E340F"/>
    <w:rsid w:val="007E723E"/>
    <w:rsid w:val="007E7264"/>
    <w:rsid w:val="007F0218"/>
    <w:rsid w:val="007F0740"/>
    <w:rsid w:val="007F25EF"/>
    <w:rsid w:val="007F30C7"/>
    <w:rsid w:val="007F34F0"/>
    <w:rsid w:val="007F7505"/>
    <w:rsid w:val="007F7E36"/>
    <w:rsid w:val="007F7F2C"/>
    <w:rsid w:val="00803FA0"/>
    <w:rsid w:val="00804083"/>
    <w:rsid w:val="00804858"/>
    <w:rsid w:val="0080763E"/>
    <w:rsid w:val="008123AB"/>
    <w:rsid w:val="00817607"/>
    <w:rsid w:val="008228B0"/>
    <w:rsid w:val="00835D43"/>
    <w:rsid w:val="00841790"/>
    <w:rsid w:val="0084197E"/>
    <w:rsid w:val="00842553"/>
    <w:rsid w:val="0084480A"/>
    <w:rsid w:val="00846209"/>
    <w:rsid w:val="00846B77"/>
    <w:rsid w:val="00856607"/>
    <w:rsid w:val="00856E29"/>
    <w:rsid w:val="0085709E"/>
    <w:rsid w:val="00857106"/>
    <w:rsid w:val="00865BF3"/>
    <w:rsid w:val="008666A0"/>
    <w:rsid w:val="008703AE"/>
    <w:rsid w:val="0087197F"/>
    <w:rsid w:val="00875D9D"/>
    <w:rsid w:val="0087634F"/>
    <w:rsid w:val="0087797E"/>
    <w:rsid w:val="00880DB1"/>
    <w:rsid w:val="00882390"/>
    <w:rsid w:val="0088277A"/>
    <w:rsid w:val="00882FE4"/>
    <w:rsid w:val="00885223"/>
    <w:rsid w:val="00886368"/>
    <w:rsid w:val="00887CF9"/>
    <w:rsid w:val="00890562"/>
    <w:rsid w:val="00895539"/>
    <w:rsid w:val="00895F59"/>
    <w:rsid w:val="00897B68"/>
    <w:rsid w:val="008A15DE"/>
    <w:rsid w:val="008A4F6F"/>
    <w:rsid w:val="008A6753"/>
    <w:rsid w:val="008A6990"/>
    <w:rsid w:val="008A6F6B"/>
    <w:rsid w:val="008B2BFF"/>
    <w:rsid w:val="008B37FF"/>
    <w:rsid w:val="008B5751"/>
    <w:rsid w:val="008C187A"/>
    <w:rsid w:val="008C1ECC"/>
    <w:rsid w:val="008C2206"/>
    <w:rsid w:val="008C2BCF"/>
    <w:rsid w:val="008E1EF4"/>
    <w:rsid w:val="008E393F"/>
    <w:rsid w:val="008E7911"/>
    <w:rsid w:val="008F1CD9"/>
    <w:rsid w:val="008F4460"/>
    <w:rsid w:val="0090218F"/>
    <w:rsid w:val="009036A3"/>
    <w:rsid w:val="00905280"/>
    <w:rsid w:val="0090562B"/>
    <w:rsid w:val="00910096"/>
    <w:rsid w:val="00911342"/>
    <w:rsid w:val="00912BC3"/>
    <w:rsid w:val="00912CF1"/>
    <w:rsid w:val="00917590"/>
    <w:rsid w:val="00920997"/>
    <w:rsid w:val="0092422F"/>
    <w:rsid w:val="00924A6E"/>
    <w:rsid w:val="009271BA"/>
    <w:rsid w:val="00927B05"/>
    <w:rsid w:val="009306C9"/>
    <w:rsid w:val="0093163A"/>
    <w:rsid w:val="0093747A"/>
    <w:rsid w:val="00937E22"/>
    <w:rsid w:val="0094075C"/>
    <w:rsid w:val="00942260"/>
    <w:rsid w:val="009460B5"/>
    <w:rsid w:val="0094767F"/>
    <w:rsid w:val="009479CD"/>
    <w:rsid w:val="0095125E"/>
    <w:rsid w:val="00952028"/>
    <w:rsid w:val="0095297E"/>
    <w:rsid w:val="009536EB"/>
    <w:rsid w:val="00956BED"/>
    <w:rsid w:val="0096468A"/>
    <w:rsid w:val="0096631C"/>
    <w:rsid w:val="00966877"/>
    <w:rsid w:val="0096687C"/>
    <w:rsid w:val="00966CD3"/>
    <w:rsid w:val="009670DA"/>
    <w:rsid w:val="00967535"/>
    <w:rsid w:val="0097141E"/>
    <w:rsid w:val="0097259E"/>
    <w:rsid w:val="009762FC"/>
    <w:rsid w:val="00977DE7"/>
    <w:rsid w:val="0098482F"/>
    <w:rsid w:val="009862F0"/>
    <w:rsid w:val="009912C5"/>
    <w:rsid w:val="009928D8"/>
    <w:rsid w:val="009A1EA2"/>
    <w:rsid w:val="009A2412"/>
    <w:rsid w:val="009A453C"/>
    <w:rsid w:val="009A5EA0"/>
    <w:rsid w:val="009A6C84"/>
    <w:rsid w:val="009B2CF8"/>
    <w:rsid w:val="009B480D"/>
    <w:rsid w:val="009B4AB1"/>
    <w:rsid w:val="009C0AD1"/>
    <w:rsid w:val="009C6980"/>
    <w:rsid w:val="009C7253"/>
    <w:rsid w:val="009D0A75"/>
    <w:rsid w:val="009D661C"/>
    <w:rsid w:val="009E2028"/>
    <w:rsid w:val="009E3E31"/>
    <w:rsid w:val="009E4367"/>
    <w:rsid w:val="009E4A78"/>
    <w:rsid w:val="009E506A"/>
    <w:rsid w:val="009E64E0"/>
    <w:rsid w:val="009E7334"/>
    <w:rsid w:val="009F010A"/>
    <w:rsid w:val="009F0D05"/>
    <w:rsid w:val="009F1A67"/>
    <w:rsid w:val="009F2104"/>
    <w:rsid w:val="009F53A5"/>
    <w:rsid w:val="00A0081A"/>
    <w:rsid w:val="00A00FB4"/>
    <w:rsid w:val="00A01590"/>
    <w:rsid w:val="00A02560"/>
    <w:rsid w:val="00A02807"/>
    <w:rsid w:val="00A0695E"/>
    <w:rsid w:val="00A126B0"/>
    <w:rsid w:val="00A1302B"/>
    <w:rsid w:val="00A212E3"/>
    <w:rsid w:val="00A2451F"/>
    <w:rsid w:val="00A25371"/>
    <w:rsid w:val="00A25C57"/>
    <w:rsid w:val="00A33FE5"/>
    <w:rsid w:val="00A407AC"/>
    <w:rsid w:val="00A539A4"/>
    <w:rsid w:val="00A54ACE"/>
    <w:rsid w:val="00A56322"/>
    <w:rsid w:val="00A60CDE"/>
    <w:rsid w:val="00A60CED"/>
    <w:rsid w:val="00A61DF4"/>
    <w:rsid w:val="00A620B4"/>
    <w:rsid w:val="00A675C7"/>
    <w:rsid w:val="00A707C5"/>
    <w:rsid w:val="00A72210"/>
    <w:rsid w:val="00A75619"/>
    <w:rsid w:val="00A75B82"/>
    <w:rsid w:val="00A765AC"/>
    <w:rsid w:val="00A83A17"/>
    <w:rsid w:val="00A85027"/>
    <w:rsid w:val="00A8634F"/>
    <w:rsid w:val="00A87E15"/>
    <w:rsid w:val="00A9004F"/>
    <w:rsid w:val="00A90C38"/>
    <w:rsid w:val="00AA0064"/>
    <w:rsid w:val="00AA1479"/>
    <w:rsid w:val="00AA2C1B"/>
    <w:rsid w:val="00AA333A"/>
    <w:rsid w:val="00AA3CB7"/>
    <w:rsid w:val="00AA3FAE"/>
    <w:rsid w:val="00AA43E5"/>
    <w:rsid w:val="00AA6B43"/>
    <w:rsid w:val="00AA7EAE"/>
    <w:rsid w:val="00AB304B"/>
    <w:rsid w:val="00AB5BCE"/>
    <w:rsid w:val="00AC214F"/>
    <w:rsid w:val="00AC3051"/>
    <w:rsid w:val="00AC6372"/>
    <w:rsid w:val="00AC7A35"/>
    <w:rsid w:val="00AD301A"/>
    <w:rsid w:val="00AD5A77"/>
    <w:rsid w:val="00AD7B57"/>
    <w:rsid w:val="00AE02DE"/>
    <w:rsid w:val="00AE1953"/>
    <w:rsid w:val="00AE3826"/>
    <w:rsid w:val="00AE6011"/>
    <w:rsid w:val="00AE64E3"/>
    <w:rsid w:val="00AE6965"/>
    <w:rsid w:val="00AF1285"/>
    <w:rsid w:val="00AF2710"/>
    <w:rsid w:val="00B00FA0"/>
    <w:rsid w:val="00B019CD"/>
    <w:rsid w:val="00B03F05"/>
    <w:rsid w:val="00B205DD"/>
    <w:rsid w:val="00B21234"/>
    <w:rsid w:val="00B226EC"/>
    <w:rsid w:val="00B236AE"/>
    <w:rsid w:val="00B25068"/>
    <w:rsid w:val="00B25314"/>
    <w:rsid w:val="00B33EE7"/>
    <w:rsid w:val="00B36BE9"/>
    <w:rsid w:val="00B36DB5"/>
    <w:rsid w:val="00B403D4"/>
    <w:rsid w:val="00B44272"/>
    <w:rsid w:val="00B475EE"/>
    <w:rsid w:val="00B51988"/>
    <w:rsid w:val="00B51A08"/>
    <w:rsid w:val="00B51B43"/>
    <w:rsid w:val="00B53140"/>
    <w:rsid w:val="00B5693F"/>
    <w:rsid w:val="00B608CE"/>
    <w:rsid w:val="00B63582"/>
    <w:rsid w:val="00B7290B"/>
    <w:rsid w:val="00B76C9C"/>
    <w:rsid w:val="00B80225"/>
    <w:rsid w:val="00B91029"/>
    <w:rsid w:val="00B936EA"/>
    <w:rsid w:val="00BA0A92"/>
    <w:rsid w:val="00BA1A39"/>
    <w:rsid w:val="00BB03AA"/>
    <w:rsid w:val="00BB0F06"/>
    <w:rsid w:val="00BB431B"/>
    <w:rsid w:val="00BB5315"/>
    <w:rsid w:val="00BB5FC3"/>
    <w:rsid w:val="00BC23A2"/>
    <w:rsid w:val="00BC2F24"/>
    <w:rsid w:val="00BC4EA8"/>
    <w:rsid w:val="00BC540C"/>
    <w:rsid w:val="00BC5C55"/>
    <w:rsid w:val="00BC717B"/>
    <w:rsid w:val="00BD07F6"/>
    <w:rsid w:val="00BD1442"/>
    <w:rsid w:val="00BD3255"/>
    <w:rsid w:val="00BE1FB3"/>
    <w:rsid w:val="00BE3450"/>
    <w:rsid w:val="00BE3AF0"/>
    <w:rsid w:val="00BE3ECD"/>
    <w:rsid w:val="00BE544E"/>
    <w:rsid w:val="00BE56D3"/>
    <w:rsid w:val="00BE66BB"/>
    <w:rsid w:val="00BE7893"/>
    <w:rsid w:val="00BE7920"/>
    <w:rsid w:val="00BF080A"/>
    <w:rsid w:val="00BF0D08"/>
    <w:rsid w:val="00BF15C9"/>
    <w:rsid w:val="00C01CA9"/>
    <w:rsid w:val="00C0232F"/>
    <w:rsid w:val="00C0445B"/>
    <w:rsid w:val="00C07359"/>
    <w:rsid w:val="00C07627"/>
    <w:rsid w:val="00C137FC"/>
    <w:rsid w:val="00C1498E"/>
    <w:rsid w:val="00C16F07"/>
    <w:rsid w:val="00C220CF"/>
    <w:rsid w:val="00C25C60"/>
    <w:rsid w:val="00C3047B"/>
    <w:rsid w:val="00C31487"/>
    <w:rsid w:val="00C33EEF"/>
    <w:rsid w:val="00C35774"/>
    <w:rsid w:val="00C35973"/>
    <w:rsid w:val="00C41013"/>
    <w:rsid w:val="00C44701"/>
    <w:rsid w:val="00C447AC"/>
    <w:rsid w:val="00C448F4"/>
    <w:rsid w:val="00C472BE"/>
    <w:rsid w:val="00C50F28"/>
    <w:rsid w:val="00C53D68"/>
    <w:rsid w:val="00C567DC"/>
    <w:rsid w:val="00C5700F"/>
    <w:rsid w:val="00C61623"/>
    <w:rsid w:val="00C65F68"/>
    <w:rsid w:val="00C663F0"/>
    <w:rsid w:val="00C70120"/>
    <w:rsid w:val="00C733E5"/>
    <w:rsid w:val="00C75852"/>
    <w:rsid w:val="00C758A1"/>
    <w:rsid w:val="00C81BA0"/>
    <w:rsid w:val="00C83745"/>
    <w:rsid w:val="00C84013"/>
    <w:rsid w:val="00C912E7"/>
    <w:rsid w:val="00C92F7E"/>
    <w:rsid w:val="00C93460"/>
    <w:rsid w:val="00C9636B"/>
    <w:rsid w:val="00C97A48"/>
    <w:rsid w:val="00CA0036"/>
    <w:rsid w:val="00CA03E2"/>
    <w:rsid w:val="00CA11A4"/>
    <w:rsid w:val="00CA1662"/>
    <w:rsid w:val="00CA2F8B"/>
    <w:rsid w:val="00CA3FA7"/>
    <w:rsid w:val="00CB1F8C"/>
    <w:rsid w:val="00CB3AF7"/>
    <w:rsid w:val="00CB786B"/>
    <w:rsid w:val="00CC03CF"/>
    <w:rsid w:val="00CC1A0C"/>
    <w:rsid w:val="00CC4341"/>
    <w:rsid w:val="00CC5834"/>
    <w:rsid w:val="00CC5F4B"/>
    <w:rsid w:val="00CC62E8"/>
    <w:rsid w:val="00CC72B0"/>
    <w:rsid w:val="00CD0C0C"/>
    <w:rsid w:val="00CD3114"/>
    <w:rsid w:val="00CD729C"/>
    <w:rsid w:val="00CE298A"/>
    <w:rsid w:val="00CE3E0A"/>
    <w:rsid w:val="00CE565B"/>
    <w:rsid w:val="00CE7C33"/>
    <w:rsid w:val="00CF2621"/>
    <w:rsid w:val="00CF303D"/>
    <w:rsid w:val="00CF477A"/>
    <w:rsid w:val="00CF4D2F"/>
    <w:rsid w:val="00CF781D"/>
    <w:rsid w:val="00D01B08"/>
    <w:rsid w:val="00D01B82"/>
    <w:rsid w:val="00D02D3B"/>
    <w:rsid w:val="00D03534"/>
    <w:rsid w:val="00D10276"/>
    <w:rsid w:val="00D104F6"/>
    <w:rsid w:val="00D13979"/>
    <w:rsid w:val="00D16925"/>
    <w:rsid w:val="00D20225"/>
    <w:rsid w:val="00D20EDC"/>
    <w:rsid w:val="00D226CE"/>
    <w:rsid w:val="00D242C5"/>
    <w:rsid w:val="00D248E0"/>
    <w:rsid w:val="00D24D72"/>
    <w:rsid w:val="00D26BF2"/>
    <w:rsid w:val="00D26F6E"/>
    <w:rsid w:val="00D27F50"/>
    <w:rsid w:val="00D35939"/>
    <w:rsid w:val="00D43587"/>
    <w:rsid w:val="00D43FDB"/>
    <w:rsid w:val="00D45C4F"/>
    <w:rsid w:val="00D526C9"/>
    <w:rsid w:val="00D533AB"/>
    <w:rsid w:val="00D5676C"/>
    <w:rsid w:val="00D577F8"/>
    <w:rsid w:val="00D57EF6"/>
    <w:rsid w:val="00D6107C"/>
    <w:rsid w:val="00D635A8"/>
    <w:rsid w:val="00D73418"/>
    <w:rsid w:val="00D73C0C"/>
    <w:rsid w:val="00D74DD4"/>
    <w:rsid w:val="00D75DA1"/>
    <w:rsid w:val="00D76F6E"/>
    <w:rsid w:val="00D801F5"/>
    <w:rsid w:val="00D812CE"/>
    <w:rsid w:val="00D851CA"/>
    <w:rsid w:val="00D85925"/>
    <w:rsid w:val="00D869B7"/>
    <w:rsid w:val="00D92198"/>
    <w:rsid w:val="00D92865"/>
    <w:rsid w:val="00D95016"/>
    <w:rsid w:val="00D956D6"/>
    <w:rsid w:val="00D96DF4"/>
    <w:rsid w:val="00D971A3"/>
    <w:rsid w:val="00D972E4"/>
    <w:rsid w:val="00D9742C"/>
    <w:rsid w:val="00DA0578"/>
    <w:rsid w:val="00DA4EBC"/>
    <w:rsid w:val="00DA6317"/>
    <w:rsid w:val="00DB020D"/>
    <w:rsid w:val="00DB113C"/>
    <w:rsid w:val="00DB22CF"/>
    <w:rsid w:val="00DB5E41"/>
    <w:rsid w:val="00DC00CD"/>
    <w:rsid w:val="00DC0D46"/>
    <w:rsid w:val="00DC21C1"/>
    <w:rsid w:val="00DC2554"/>
    <w:rsid w:val="00DC27A2"/>
    <w:rsid w:val="00DC2B66"/>
    <w:rsid w:val="00DC3576"/>
    <w:rsid w:val="00DC494E"/>
    <w:rsid w:val="00DC4A89"/>
    <w:rsid w:val="00DD0D2A"/>
    <w:rsid w:val="00DD4A2B"/>
    <w:rsid w:val="00DD4FF8"/>
    <w:rsid w:val="00DE0283"/>
    <w:rsid w:val="00DE15ED"/>
    <w:rsid w:val="00DE44DC"/>
    <w:rsid w:val="00DF1E8D"/>
    <w:rsid w:val="00DF66F0"/>
    <w:rsid w:val="00DF6E59"/>
    <w:rsid w:val="00DF760F"/>
    <w:rsid w:val="00E00335"/>
    <w:rsid w:val="00E00799"/>
    <w:rsid w:val="00E00E64"/>
    <w:rsid w:val="00E026F9"/>
    <w:rsid w:val="00E048A2"/>
    <w:rsid w:val="00E053C3"/>
    <w:rsid w:val="00E05A10"/>
    <w:rsid w:val="00E063C8"/>
    <w:rsid w:val="00E06C9B"/>
    <w:rsid w:val="00E07099"/>
    <w:rsid w:val="00E13436"/>
    <w:rsid w:val="00E15030"/>
    <w:rsid w:val="00E22EFA"/>
    <w:rsid w:val="00E2767D"/>
    <w:rsid w:val="00E27EA4"/>
    <w:rsid w:val="00E31514"/>
    <w:rsid w:val="00E344A7"/>
    <w:rsid w:val="00E345CB"/>
    <w:rsid w:val="00E3573E"/>
    <w:rsid w:val="00E37BD6"/>
    <w:rsid w:val="00E4510C"/>
    <w:rsid w:val="00E45A53"/>
    <w:rsid w:val="00E51052"/>
    <w:rsid w:val="00E52A20"/>
    <w:rsid w:val="00E549F7"/>
    <w:rsid w:val="00E55256"/>
    <w:rsid w:val="00E55CE1"/>
    <w:rsid w:val="00E55D1E"/>
    <w:rsid w:val="00E56D80"/>
    <w:rsid w:val="00E616FB"/>
    <w:rsid w:val="00E62A8E"/>
    <w:rsid w:val="00E673B3"/>
    <w:rsid w:val="00E67471"/>
    <w:rsid w:val="00E730BA"/>
    <w:rsid w:val="00E75FF9"/>
    <w:rsid w:val="00E76D60"/>
    <w:rsid w:val="00E8113F"/>
    <w:rsid w:val="00E82D5F"/>
    <w:rsid w:val="00E867B3"/>
    <w:rsid w:val="00E86B58"/>
    <w:rsid w:val="00E87FD6"/>
    <w:rsid w:val="00E96256"/>
    <w:rsid w:val="00E968B2"/>
    <w:rsid w:val="00EA3E46"/>
    <w:rsid w:val="00EA7B56"/>
    <w:rsid w:val="00EB0F40"/>
    <w:rsid w:val="00EB1001"/>
    <w:rsid w:val="00EB4E5F"/>
    <w:rsid w:val="00EB583A"/>
    <w:rsid w:val="00EB6CFC"/>
    <w:rsid w:val="00EC77A0"/>
    <w:rsid w:val="00EE1F08"/>
    <w:rsid w:val="00EE29DC"/>
    <w:rsid w:val="00EE3198"/>
    <w:rsid w:val="00EE4D51"/>
    <w:rsid w:val="00EE70D6"/>
    <w:rsid w:val="00EF0E7E"/>
    <w:rsid w:val="00EF576D"/>
    <w:rsid w:val="00EF57C9"/>
    <w:rsid w:val="00F00BFF"/>
    <w:rsid w:val="00F017C8"/>
    <w:rsid w:val="00F02242"/>
    <w:rsid w:val="00F02CF5"/>
    <w:rsid w:val="00F03209"/>
    <w:rsid w:val="00F0377E"/>
    <w:rsid w:val="00F0569A"/>
    <w:rsid w:val="00F06A89"/>
    <w:rsid w:val="00F06CD6"/>
    <w:rsid w:val="00F11603"/>
    <w:rsid w:val="00F119B3"/>
    <w:rsid w:val="00F1543A"/>
    <w:rsid w:val="00F15BDB"/>
    <w:rsid w:val="00F22551"/>
    <w:rsid w:val="00F23BB4"/>
    <w:rsid w:val="00F23F71"/>
    <w:rsid w:val="00F2498B"/>
    <w:rsid w:val="00F27DE5"/>
    <w:rsid w:val="00F31514"/>
    <w:rsid w:val="00F35A58"/>
    <w:rsid w:val="00F376F2"/>
    <w:rsid w:val="00F37BD9"/>
    <w:rsid w:val="00F37C75"/>
    <w:rsid w:val="00F41CAD"/>
    <w:rsid w:val="00F437EA"/>
    <w:rsid w:val="00F52357"/>
    <w:rsid w:val="00F55239"/>
    <w:rsid w:val="00F5677C"/>
    <w:rsid w:val="00F56AEB"/>
    <w:rsid w:val="00F56B33"/>
    <w:rsid w:val="00F572B4"/>
    <w:rsid w:val="00F612F9"/>
    <w:rsid w:val="00F6131B"/>
    <w:rsid w:val="00F61B55"/>
    <w:rsid w:val="00F62D40"/>
    <w:rsid w:val="00F65F71"/>
    <w:rsid w:val="00F71128"/>
    <w:rsid w:val="00F7376B"/>
    <w:rsid w:val="00F75A55"/>
    <w:rsid w:val="00F769C9"/>
    <w:rsid w:val="00F77E5C"/>
    <w:rsid w:val="00F77FD7"/>
    <w:rsid w:val="00F83896"/>
    <w:rsid w:val="00F838A4"/>
    <w:rsid w:val="00F862F2"/>
    <w:rsid w:val="00F90279"/>
    <w:rsid w:val="00F910F0"/>
    <w:rsid w:val="00F91AD1"/>
    <w:rsid w:val="00F961F5"/>
    <w:rsid w:val="00FA19E0"/>
    <w:rsid w:val="00FA25E1"/>
    <w:rsid w:val="00FA3FF7"/>
    <w:rsid w:val="00FA440F"/>
    <w:rsid w:val="00FB2DC5"/>
    <w:rsid w:val="00FB7488"/>
    <w:rsid w:val="00FC144A"/>
    <w:rsid w:val="00FC1D89"/>
    <w:rsid w:val="00FC3621"/>
    <w:rsid w:val="00FC4A3C"/>
    <w:rsid w:val="00FC6BB4"/>
    <w:rsid w:val="00FD7D72"/>
    <w:rsid w:val="00FE008A"/>
    <w:rsid w:val="00FE092E"/>
    <w:rsid w:val="00FE259C"/>
    <w:rsid w:val="00FE796C"/>
    <w:rsid w:val="00FF1C80"/>
    <w:rsid w:val="00FF2385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8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列表段落11"/>
    <w:basedOn w:val="a"/>
    <w:link w:val="ad"/>
    <w:uiPriority w:val="34"/>
    <w:qFormat/>
    <w:rsid w:val="00064FA3"/>
    <w:pPr>
      <w:ind w:firstLineChars="200" w:firstLine="420"/>
    </w:pPr>
  </w:style>
  <w:style w:type="paragraph" w:styleId="ae">
    <w:name w:val="annotation text"/>
    <w:basedOn w:val="a"/>
    <w:link w:val="af"/>
    <w:uiPriority w:val="99"/>
    <w:semiHidden/>
    <w:unhideWhenUsed/>
    <w:rsid w:val="00AF2710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AF271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2710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927B05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B1">
    <w:name w:val="B1"/>
    <w:basedOn w:val="af2"/>
    <w:link w:val="B1Char1"/>
    <w:rsid w:val="00B8022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har"/>
    <w:rsid w:val="00B8022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2">
    <w:name w:val="List"/>
    <w:basedOn w:val="a"/>
    <w:uiPriority w:val="99"/>
    <w:semiHidden/>
    <w:unhideWhenUsed/>
    <w:rsid w:val="00B80225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B80225"/>
    <w:pPr>
      <w:ind w:leftChars="200" w:left="100" w:hangingChars="200" w:hanging="200"/>
      <w:contextualSpacing/>
    </w:pPr>
  </w:style>
  <w:style w:type="paragraph" w:styleId="af3">
    <w:name w:val="Normal (Web)"/>
    <w:basedOn w:val="a"/>
    <w:uiPriority w:val="99"/>
    <w:unhideWhenUsed/>
    <w:rsid w:val="003C53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12DD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12DD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Doc-text2">
    <w:name w:val="Doc-text2"/>
    <w:basedOn w:val="a"/>
    <w:link w:val="Doc-text2Char"/>
    <w:qFormat/>
    <w:rsid w:val="00657AB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57ABB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ad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locked/>
    <w:rsid w:val="003E0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3893</TotalTime>
  <Pages>3</Pages>
  <Words>1235</Words>
  <Characters>7042</Characters>
  <Application>Microsoft Office Word</Application>
  <DocSecurity>0</DocSecurity>
  <Lines>58</Lines>
  <Paragraphs>16</Paragraphs>
  <ScaleCrop>false</ScaleCrop>
  <Company/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770</cp:revision>
  <dcterms:created xsi:type="dcterms:W3CDTF">2021-01-15T02:11:00Z</dcterms:created>
  <dcterms:modified xsi:type="dcterms:W3CDTF">2023-09-28T01:43:00Z</dcterms:modified>
</cp:coreProperties>
</file>